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Обгрунтування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(відповідно до пункту 4</w:t>
      </w: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>постанови КМУ від 11.10.2016 № 710 «Про ефективне використання державних коштів»)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Процедура закупівлі: </w:t>
      </w:r>
      <w:r>
        <w:rPr>
          <w:sz w:val="22"/>
          <w:szCs w:val="22"/>
        </w:rPr>
        <w:t xml:space="preserve">Відкриті торги 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з особливостями</w:t>
      </w:r>
      <w:r>
        <w:rPr>
          <w:sz w:val="22"/>
          <w:szCs w:val="22"/>
        </w:rPr>
        <w:t>.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Назва закупівлі: </w:t>
      </w:r>
      <w:r>
        <w:rPr>
          <w:rStyle w:val="Style16"/>
          <w:rFonts w:eastAsia="TimesNewRoman;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3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lang w:val="uk-UA" w:eastAsia="uk-UA" w:bidi="ar-SA"/>
        </w:rPr>
        <w:t>Заміна технічних засобів регулювання дорожнім рухом (дорожні знаки), а також їх встановлення та обслуговування</w:t>
      </w:r>
    </w:p>
    <w:p>
      <w:pPr>
        <w:pStyle w:val="Normal"/>
        <w:jc w:val="both"/>
        <w:rPr/>
      </w:pPr>
      <w:r>
        <w:rPr>
          <w:rStyle w:val="Style16"/>
          <w:rFonts w:eastAsia="TimesNewRoman;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3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lang w:val="uk-UA" w:eastAsia="uk-UA" w:bidi="ar-SA"/>
        </w:rPr>
        <w:t>(ДК 021:2015: 4523</w:t>
      </w:r>
      <w:r>
        <w:rPr>
          <w:rStyle w:val="Style16"/>
          <w:rFonts w:eastAsia="TimesNewRoman;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3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lang w:val="uk-UA" w:eastAsia="uk-UA" w:bidi="ar-SA"/>
        </w:rPr>
        <w:t>0</w:t>
      </w:r>
      <w:r>
        <w:rPr>
          <w:rStyle w:val="Style16"/>
          <w:rFonts w:eastAsia="TimesNewRoman;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3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lang w:val="uk-UA" w:eastAsia="uk-UA" w:bidi="ar-SA"/>
        </w:rPr>
        <w:t>000-</w:t>
      </w:r>
      <w:r>
        <w:rPr>
          <w:rStyle w:val="Style16"/>
          <w:rFonts w:eastAsia="TimesNewRoman;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3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lang w:val="uk-UA" w:eastAsia="uk-UA" w:bidi="ar-SA"/>
        </w:rPr>
        <w:t>8</w:t>
      </w:r>
      <w:r>
        <w:rPr>
          <w:rStyle w:val="Style16"/>
          <w:rFonts w:eastAsia="TimesNewRoman;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3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lang w:val="uk-UA" w:eastAsia="uk-UA" w:bidi="ar-SA"/>
        </w:rPr>
        <w:t xml:space="preserve">  Будівництво трубопроводів, ліній зв’язку та електропередач шосе, доріг, аеродромів і залізничних доріг; вирівнювання поверхонь)</w:t>
      </w:r>
    </w:p>
    <w:p>
      <w:pPr>
        <w:pStyle w:val="Normal"/>
        <w:jc w:val="both"/>
        <w:rPr>
          <w:color w:val="auto"/>
        </w:rPr>
      </w:pPr>
      <w:r>
        <w:rPr>
          <w:color w:val="auto"/>
          <w:sz w:val="22"/>
          <w:szCs w:val="22"/>
        </w:rPr>
        <w:t xml:space="preserve">Ідентифікатор закупівлі: </w:t>
      </w:r>
      <w:r>
        <w:rPr>
          <w:color w:val="auto"/>
          <w:sz w:val="22"/>
          <w:szCs w:val="22"/>
          <w:lang w:val="en-US"/>
        </w:rPr>
        <w:t>UA-2023-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10-12-008904</w:t>
      </w:r>
      <w:r>
        <w:rPr>
          <w:color w:val="auto"/>
          <w:sz w:val="22"/>
          <w:szCs w:val="22"/>
          <w:lang w:val="en-US"/>
        </w:rPr>
        <w:t>-a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Очікувана вартість предмета закупівлі:  </w:t>
      </w:r>
      <w:r>
        <w:rPr>
          <w:b w:val="false"/>
          <w:bCs w:val="false"/>
          <w:sz w:val="22"/>
          <w:szCs w:val="22"/>
        </w:rPr>
        <w:t>300 000,00</w:t>
      </w:r>
      <w:r>
        <w:rPr>
          <w:rStyle w:val="Style15"/>
          <w:rFonts w:cs="Times New Roman"/>
          <w:b w:val="false"/>
          <w:bCs w:val="false"/>
          <w:iCs/>
          <w:color w:val="000000"/>
          <w:sz w:val="22"/>
          <w:szCs w:val="22"/>
          <w:shd w:fill="FFFFFF" w:val="clear"/>
          <w:lang w:val="uk-UA" w:eastAsia="ru-RU"/>
        </w:rPr>
        <w:t xml:space="preserve"> </w:t>
      </w:r>
      <w:r>
        <w:rPr>
          <w:rStyle w:val="Style15"/>
          <w:rFonts w:cs="Times New Roman"/>
          <w:b w:val="false"/>
          <w:bCs w:val="false"/>
          <w:color w:val="000000"/>
          <w:sz w:val="22"/>
          <w:szCs w:val="22"/>
          <w:shd w:fill="FFFFFF" w:val="clear"/>
          <w:lang w:val="uk-UA" w:eastAsia="ru-RU"/>
        </w:rPr>
        <w:t>грн</w:t>
      </w:r>
      <w:r>
        <w:rPr>
          <w:b w:val="false"/>
          <w:bCs w:val="false"/>
          <w:sz w:val="22"/>
          <w:szCs w:val="22"/>
        </w:rPr>
        <w:t xml:space="preserve">. 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Обгрунтування розміру бюджетного призначення: </w:t>
      </w:r>
      <w:r>
        <w:rPr>
          <w:sz w:val="22"/>
          <w:szCs w:val="22"/>
        </w:rPr>
        <w:t>розмір бюджетного призначення визначений відповідно до бюджету Прилуцької міської територіальної громади на 202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3</w:t>
      </w:r>
      <w:r>
        <w:rPr>
          <w:sz w:val="22"/>
          <w:szCs w:val="22"/>
        </w:rPr>
        <w:t xml:space="preserve"> рік;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Обгрунтування  технічних та якісних характеристик предмета закупівлі:</w:t>
      </w:r>
    </w:p>
    <w:p>
      <w:pPr>
        <w:pStyle w:val="Normal"/>
        <w:jc w:val="both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>Об’єми робіт при наданні послуг:</w:t>
      </w:r>
    </w:p>
    <w:tbl>
      <w:tblPr>
        <w:tblW w:w="1009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6855"/>
        <w:gridCol w:w="1080"/>
        <w:gridCol w:w="1590"/>
      </w:tblGrid>
      <w:tr>
        <w:trPr/>
        <w:tc>
          <w:tcPr>
            <w:tcW w:w="570" w:type="dxa"/>
            <w:tcBorders/>
          </w:tcPr>
          <w:p>
            <w:pPr>
              <w:pStyle w:val="Style22"/>
              <w:jc w:val="center"/>
              <w:rPr/>
            </w:pPr>
            <w:r>
              <w:rPr>
                <w:sz w:val="24"/>
                <w:szCs w:val="24"/>
              </w:rPr>
              <w:t>№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з/п</w:t>
            </w:r>
          </w:p>
        </w:tc>
        <w:tc>
          <w:tcPr>
            <w:tcW w:w="6855" w:type="dxa"/>
            <w:tcBorders/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Найменування робіт</w:t>
            </w:r>
          </w:p>
        </w:tc>
        <w:tc>
          <w:tcPr>
            <w:tcW w:w="1080" w:type="dxa"/>
            <w:tcBorders/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Одиниця виміру</w:t>
            </w:r>
          </w:p>
        </w:tc>
        <w:tc>
          <w:tcPr>
            <w:tcW w:w="1590" w:type="dxa"/>
            <w:tcBorders/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55" w:type="dxa"/>
            <w:tcBorders/>
          </w:tcPr>
          <w:p>
            <w:pPr>
              <w:pStyle w:val="Style22"/>
              <w:jc w:val="left"/>
              <w:rPr/>
            </w:pPr>
            <w:r>
              <w:rPr>
                <w:sz w:val="24"/>
                <w:szCs w:val="24"/>
              </w:rPr>
              <w:t>Установлення дорожніх знаків на металевих ст</w:t>
            </w:r>
            <w:r>
              <w:rPr>
                <w:rFonts w:eastAsia="Lucida Sans Unicode" w:cs="Mangal"/>
                <w:color w:val="auto"/>
                <w:kern w:val="2"/>
                <w:sz w:val="24"/>
                <w:szCs w:val="24"/>
                <w:lang w:val="uk-UA" w:eastAsia="zh-CN" w:bidi="hi-IN"/>
              </w:rPr>
              <w:t>ояках</w:t>
            </w:r>
          </w:p>
        </w:tc>
        <w:tc>
          <w:tcPr>
            <w:tcW w:w="1080" w:type="dxa"/>
            <w:tcBorders/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590" w:type="dxa"/>
            <w:tcBorders/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55" w:type="dxa"/>
            <w:tcBorders/>
          </w:tcPr>
          <w:p>
            <w:pPr>
              <w:pStyle w:val="Style2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Стійки металеві, зовнішній діаметр 57 мм, товщина стінки 2,5 мм</w:t>
            </w:r>
          </w:p>
        </w:tc>
        <w:tc>
          <w:tcPr>
            <w:tcW w:w="1080" w:type="dxa"/>
            <w:tcBorders/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590" w:type="dxa"/>
            <w:tcBorders/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348,54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55" w:type="dxa"/>
            <w:tcBorders/>
          </w:tcPr>
          <w:p>
            <w:pPr>
              <w:pStyle w:val="Style2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Дорожні знаки 5.41.1</w:t>
            </w:r>
          </w:p>
        </w:tc>
        <w:tc>
          <w:tcPr>
            <w:tcW w:w="1080" w:type="dxa"/>
            <w:tcBorders/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90" w:type="dxa"/>
            <w:tcBorders/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55" w:type="dxa"/>
            <w:tcBorders/>
          </w:tcPr>
          <w:p>
            <w:pPr>
              <w:pStyle w:val="Style2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Дорожні знаки 1.33</w:t>
            </w:r>
          </w:p>
        </w:tc>
        <w:tc>
          <w:tcPr>
            <w:tcW w:w="1080" w:type="dxa"/>
            <w:tcBorders/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90" w:type="dxa"/>
            <w:tcBorders/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55" w:type="dxa"/>
            <w:tcBorders/>
          </w:tcPr>
          <w:p>
            <w:pPr>
              <w:pStyle w:val="Style2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Дорожні знаки 1.28</w:t>
            </w:r>
          </w:p>
        </w:tc>
        <w:tc>
          <w:tcPr>
            <w:tcW w:w="1080" w:type="dxa"/>
            <w:tcBorders/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90" w:type="dxa"/>
            <w:tcBorders/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55" w:type="dxa"/>
            <w:tcBorders/>
          </w:tcPr>
          <w:p>
            <w:pPr>
              <w:pStyle w:val="Style2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Кріплення під знаки</w:t>
            </w:r>
          </w:p>
        </w:tc>
        <w:tc>
          <w:tcPr>
            <w:tcW w:w="1080" w:type="dxa"/>
            <w:tcBorders/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90" w:type="dxa"/>
            <w:tcBorders/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55" w:type="dxa"/>
            <w:tcBorders/>
          </w:tcPr>
          <w:p>
            <w:pPr>
              <w:pStyle w:val="Style2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Улаштування бетонних фундаментів під стійки металеві</w:t>
            </w:r>
          </w:p>
        </w:tc>
        <w:tc>
          <w:tcPr>
            <w:tcW w:w="1080" w:type="dxa"/>
            <w:tcBorders/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1590" w:type="dxa"/>
            <w:tcBorders/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7,77</w:t>
            </w:r>
          </w:p>
        </w:tc>
      </w:tr>
    </w:tbl>
    <w:p>
      <w:pPr>
        <w:pStyle w:val="Normal"/>
        <w:jc w:val="both"/>
        <w:rPr/>
      </w:pPr>
      <w:r>
        <w:rPr/>
        <w:tab/>
        <w:t xml:space="preserve">Знаки дорожні повинні відповідати всім умовам прописаним в національнім стандарті України “Знаки дорожні. Загальні технічні умови. Правила застосування.” ДСТУ 4100:2021. Місця  </w:t>
      </w:r>
      <w:r>
        <w:rPr>
          <w:bCs/>
          <w:lang w:val="uk-UA" w:eastAsia="ru-RU"/>
        </w:rPr>
        <w:t>їх встановлення повинні відповідати вимогам  ДСТУ 3587:2022, ДСТУ 3849:2018, ДСТУ 8749:2017.</w:t>
      </w:r>
    </w:p>
    <w:p>
      <w:pPr>
        <w:pStyle w:val="Normal"/>
        <w:jc w:val="both"/>
        <w:rPr/>
      </w:pPr>
      <w:r>
        <w:rPr/>
        <w:tab/>
        <w:t xml:space="preserve">Усі деталі та складові частини знаків повинні бути виготовлені з антикорозійних матеріалів або мати захисне покриття. Покриття має відповідати ДСТУ </w:t>
      </w:r>
      <w:r>
        <w:rPr>
          <w:lang w:val="en-US"/>
        </w:rPr>
        <w:t xml:space="preserve">ISO </w:t>
      </w:r>
      <w:r>
        <w:rPr>
          <w:lang w:val="uk-UA"/>
        </w:rPr>
        <w:t xml:space="preserve">12944-5 та ДСТУ  </w:t>
      </w:r>
      <w:r>
        <w:rPr>
          <w:lang w:val="en-US"/>
        </w:rPr>
        <w:t xml:space="preserve">ISO </w:t>
      </w:r>
      <w:r>
        <w:rPr>
          <w:lang w:val="uk-UA"/>
        </w:rPr>
        <w:t>6270-2.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ab/>
        <w:t>Товщина знаків (а саме металевої основи) повинна бути не менша 0,9-1,25мм.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ab/>
        <w:t>Лицьова частина дорожнього знака не повинна мати наскрізних отворів, видимих частин кріплення.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ab/>
        <w:t>Знаки повинні бути зі світлоповертальної поверхні, вид світлоповертальних матеріалів із кольоростійкістю. Лицьова частина знаків повинна бути виконана методом цифрового друку з використанням світлоповертаючих плівок І класу, згідно з ДСТУ 4100:2021.</w:t>
      </w:r>
    </w:p>
    <w:p>
      <w:pPr>
        <w:pStyle w:val="Normal"/>
        <w:jc w:val="both"/>
        <w:rPr/>
      </w:pPr>
      <w:r>
        <w:rPr>
          <w:lang w:val="uk-UA"/>
        </w:rPr>
        <w:tab/>
      </w:r>
      <w:r>
        <w:rPr>
          <w:lang w:val="uk-UA" w:eastAsia="ru-RU"/>
        </w:rPr>
        <w:t>Для проведення  робіт по встановленню та демонтажу дорожніх знаків на вулично-дорожній мережі Учасник повинен мати необхідну техніку, зокрема автопідйомник (не менше 1),  персонал, який цілодобово може забезпечити можливість термінового аварійного усунення недоліків на вулично-дорожній мережі, в разі потреби протягом години виїхати на місце для усунення аварійної ситуації (підтвердити штатним розписом підприємства), дозвіл на виконання робіт підвищеної небезпеки або декларацію відповідності матеріально-технічної бази вимогам законодавства з</w:t>
      </w:r>
      <w:r>
        <w:rPr>
          <w:b/>
          <w:lang w:val="uk-UA" w:eastAsia="ru-RU"/>
        </w:rPr>
        <w:t xml:space="preserve"> </w:t>
      </w:r>
      <w:r>
        <w:rPr>
          <w:lang w:val="uk-UA" w:eastAsia="ru-RU"/>
        </w:rPr>
        <w:t>питань охорони праці.</w:t>
      </w:r>
    </w:p>
    <w:p>
      <w:pPr>
        <w:pStyle w:val="Normal"/>
        <w:jc w:val="both"/>
        <w:rPr/>
      </w:pPr>
      <w:r>
        <w:rPr>
          <w:i w:val="false"/>
          <w:iCs w:val="false"/>
          <w:lang w:val="uk-UA" w:eastAsia="ru-RU"/>
        </w:rPr>
        <w:tab/>
      </w:r>
      <w:r>
        <w:rPr>
          <w:i w:val="false"/>
          <w:iCs w:val="false"/>
          <w:lang w:val="uk-UA"/>
        </w:rPr>
        <w:t>Учасник-переможець бере на себе зобов`язання з дотримання усіх вимог охорони праці, техніки безпеки та пожежної безпеки на об`єкті виконання робіт.</w:t>
      </w:r>
    </w:p>
    <w:p>
      <w:pPr>
        <w:pStyle w:val="Normal"/>
        <w:jc w:val="both"/>
        <w:rPr/>
      </w:pPr>
      <w:r>
        <w:rPr>
          <w:i w:val="false"/>
          <w:iCs w:val="false"/>
          <w:lang w:val="uk-UA" w:eastAsia="ru-RU"/>
        </w:rPr>
        <w:tab/>
      </w:r>
      <w:r>
        <w:rPr>
          <w:rFonts w:eastAsia="Times New Roman" w:cs="Calibri"/>
          <w:i w:val="false"/>
          <w:iCs w:val="false"/>
          <w:color w:val="auto"/>
          <w:sz w:val="24"/>
          <w:szCs w:val="20"/>
          <w:lang w:val="uk-UA" w:eastAsia="ru-RU" w:bidi="ar-SA"/>
        </w:rPr>
        <w:t>Виконавець</w:t>
      </w:r>
      <w:r>
        <w:rPr>
          <w:i w:val="false"/>
          <w:iCs w:val="false"/>
          <w:lang w:val="uk-UA" w:eastAsia="ru-RU"/>
        </w:rPr>
        <w:t xml:space="preserve"> несе відповідальність за пошкодження комунікаційних та інженерних мереж, а також іншого Майна, яке знаходиться на території виконання робіт (Об’єкті).</w:t>
      </w:r>
    </w:p>
    <w:p>
      <w:pPr>
        <w:pStyle w:val="Normal"/>
        <w:jc w:val="both"/>
        <w:rPr/>
      </w:pPr>
      <w:r>
        <w:rPr>
          <w:rFonts w:eastAsia="Times New Roman CYR" w:cs="Times New Roman"/>
          <w:b w:val="false"/>
          <w:bCs w:val="false"/>
          <w:i w:val="false"/>
          <w:iCs w:val="false"/>
          <w:sz w:val="22"/>
          <w:szCs w:val="22"/>
          <w:u w:val="none"/>
          <w:lang w:val="uk-UA" w:eastAsia="ru-RU"/>
        </w:rPr>
        <w:tab/>
        <w:t>Виконавець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uk-UA" w:eastAsia="ru-RU"/>
        </w:rPr>
        <w:t xml:space="preserve"> повинен використовувати обладнання та матеріали, які не спричиняють шкоди довкіллю, не допускати забруднення навколишнього середовища паливно-мастильними матеріалами, які використовуються в процесі експлуатації машин та механізмів при наданні послуг (надати довідку в довільній формі).</w:t>
      </w:r>
    </w:p>
    <w:p>
      <w:pPr>
        <w:pStyle w:val="Normal"/>
        <w:ind w:left="0" w:right="0" w:firstLine="567"/>
        <w:jc w:val="both"/>
        <w:rPr>
          <w:b/>
          <w:b/>
          <w:bCs/>
          <w:sz w:val="22"/>
          <w:szCs w:val="22"/>
          <w:lang w:val="uk-UA" w:eastAsia="ru-RU"/>
        </w:rPr>
      </w:pPr>
      <w:r>
        <w:rPr>
          <w:b/>
          <w:bCs/>
          <w:sz w:val="22"/>
          <w:szCs w:val="22"/>
          <w:lang w:val="uk-UA" w:eastAsia="ru-RU"/>
        </w:rPr>
        <w:t>Примітка:</w:t>
      </w:r>
    </w:p>
    <w:p>
      <w:pPr>
        <w:pStyle w:val="Normal"/>
        <w:jc w:val="both"/>
        <w:rPr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val="uk-UA" w:eastAsia="ru-RU" w:bidi="ar-SA"/>
        </w:rPr>
        <w:t>*</w:t>
      </w:r>
      <w:r>
        <w:rPr>
          <w:rFonts w:eastAsia="Times New Roman" w:cs="Times New Roman"/>
          <w:b w:val="false"/>
          <w:bCs w:val="false"/>
          <w:color w:val="000000"/>
          <w:sz w:val="22"/>
          <w:szCs w:val="22"/>
          <w:lang w:val="uk-UA" w:eastAsia="ru-RU" w:bidi="ar-SA"/>
        </w:rPr>
        <w:t xml:space="preserve"> технічне завдання у разі посилання на конкретну торговельну марку чи фірму, патент, конструкцію або тип предмета закупівлі, джерело його походження або виробника треба розуміти та читати з додатковим виразом "або еквівалент".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Начальник управління житлово-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комунального господарства</w:t>
        <w:tab/>
        <w:tab/>
        <w:tab/>
        <w:tab/>
        <w:tab/>
        <w:tab/>
        <w:tab/>
        <w:tab/>
        <w:tab/>
        <w:t>О.С.Созінов</w:t>
      </w:r>
    </w:p>
    <w:sectPr>
      <w:type w:val="nextPage"/>
      <w:pgSz w:w="11906" w:h="16838"/>
      <w:pgMar w:left="1230" w:right="581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583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ar-SA" w:bidi="ar-SA"/>
    </w:rPr>
  </w:style>
  <w:style w:type="paragraph" w:styleId="3">
    <w:name w:val="Heading 3"/>
    <w:basedOn w:val="Normal"/>
    <w:next w:val="Style18"/>
    <w:link w:val="30"/>
    <w:qFormat/>
    <w:rsid w:val="0052583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52583c"/>
    <w:rPr>
      <w:rFonts w:ascii="Times New Roman" w:hAnsi="Times New Roman" w:eastAsia="Times New Roman" w:cs="Times New Roman"/>
      <w:b/>
      <w:bCs/>
      <w:sz w:val="27"/>
      <w:szCs w:val="27"/>
      <w:lang w:val="uk-UA" w:eastAsia="ar-SA"/>
    </w:rPr>
  </w:style>
  <w:style w:type="character" w:styleId="Style13">
    <w:name w:val="Интернет-ссылка"/>
    <w:rsid w:val="0052583c"/>
    <w:rPr>
      <w:color w:val="000080"/>
      <w:u w:val="single"/>
    </w:rPr>
  </w:style>
  <w:style w:type="character" w:styleId="Style14" w:customStyle="1">
    <w:name w:val="Основной текст Знак"/>
    <w:basedOn w:val="DefaultParagraphFont"/>
    <w:link w:val="a0"/>
    <w:uiPriority w:val="99"/>
    <w:semiHidden/>
    <w:qFormat/>
    <w:rsid w:val="0052583c"/>
    <w:rPr>
      <w:rFonts w:ascii="Times New Roman" w:hAnsi="Times New Roman" w:eastAsia="Times New Roman" w:cs="Times New Roman"/>
      <w:sz w:val="24"/>
      <w:szCs w:val="24"/>
      <w:lang w:val="uk-UA" w:eastAsia="ar-SA"/>
    </w:rPr>
  </w:style>
  <w:style w:type="character" w:styleId="2" w:customStyle="1">
    <w:name w:val="Основной шрифт абзаца2"/>
    <w:qFormat/>
    <w:rsid w:val="001125fb"/>
    <w:rPr/>
  </w:style>
  <w:style w:type="character" w:styleId="Style15">
    <w:name w:val="Основной шрифт абзаца"/>
    <w:qFormat/>
    <w:rPr/>
  </w:style>
  <w:style w:type="character" w:styleId="32">
    <w:name w:val="Основной шрифт абзаца3"/>
    <w:qFormat/>
    <w:rPr/>
  </w:style>
  <w:style w:type="character" w:styleId="Style16">
    <w:name w:val="Выделение жирны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6"/>
    <w:uiPriority w:val="99"/>
    <w:semiHidden/>
    <w:unhideWhenUsed/>
    <w:rsid w:val="0052583c"/>
    <w:pPr>
      <w:spacing w:before="0" w:after="12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52583c"/>
    <w:pPr>
      <w:spacing w:before="280" w:after="280"/>
    </w:pPr>
    <w:rPr/>
  </w:style>
  <w:style w:type="paragraph" w:styleId="Standard" w:customStyle="1">
    <w:name w:val="Standard"/>
    <w:qFormat/>
    <w:rsid w:val="0052583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Style22" w:customStyle="1">
    <w:name w:val="Содержимое таблицы"/>
    <w:basedOn w:val="Normal"/>
    <w:qFormat/>
    <w:rsid w:val="001125fb"/>
    <w:pPr>
      <w:widowControl w:val="false"/>
      <w:suppressLineNumbers/>
    </w:pPr>
    <w:rPr>
      <w:rFonts w:eastAsia="Lucida Sans Unicode" w:cs="Mangal"/>
      <w:kern w:val="2"/>
      <w:sz w:val="28"/>
      <w:lang w:eastAsia="hi-IN" w:bidi="hi-IN"/>
    </w:rPr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Default">
    <w:name w:val="Default"/>
    <w:basedOn w:val="Normal"/>
    <w:qFormat/>
    <w:pPr>
      <w:suppressAutoHyphens w:val="true"/>
      <w:bidi w:val="0"/>
    </w:pPr>
    <w:rPr>
      <w:rFonts w:ascii="Times New Roman" w:hAnsi="Times New Roman" w:eastAsia="Times New Roman" w:cs="Times New Roman"/>
      <w:color w:val="000000"/>
      <w:szCs w:val="24"/>
      <w:lang w:val="ru-RU" w:bidi="hi-IN"/>
    </w:rPr>
  </w:style>
  <w:style w:type="paragraph" w:styleId="1">
    <w:name w:val="Без интервала1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Times New Roman" w:hAnsi="Times New Roman" w:eastAsia="Times New Roman" w:cs="Mangal"/>
      <w:color w:val="auto"/>
      <w:kern w:val="0"/>
      <w:sz w:val="24"/>
      <w:szCs w:val="24"/>
      <w:lang w:val="ru-RU" w:eastAsia="zh-CN" w:bidi="hi-IN"/>
    </w:rPr>
  </w:style>
  <w:style w:type="paragraph" w:styleId="11">
    <w:name w:val="Обычный1"/>
    <w:qFormat/>
    <w:pPr>
      <w:widowControl w:val="false"/>
      <w:suppressAutoHyphens w:val="true"/>
      <w:overflowPunct w:val="false"/>
      <w:bidi w:val="0"/>
      <w:snapToGrid w:val="false"/>
      <w:spacing w:lineRule="auto" w:line="300" w:before="0" w:after="0"/>
      <w:ind w:left="0" w:right="0" w:firstLine="52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uk-UA" w:eastAsia="zh-CN" w:bidi="ar-SA"/>
    </w:rPr>
  </w:style>
  <w:style w:type="paragraph" w:styleId="Style24">
    <w:name w:val="Абзац списка"/>
    <w:basedOn w:val="Standard"/>
    <w:qFormat/>
    <w:pPr>
      <w:ind w:left="720" w:right="0" w:hanging="0"/>
    </w:pPr>
    <w:rPr/>
  </w:style>
  <w:style w:type="paragraph" w:styleId="Style25">
    <w:name w:val="Обычный (веб)"/>
    <w:basedOn w:val="Normal"/>
    <w:qFormat/>
    <w:pPr>
      <w:suppressAutoHyphens w:val="false"/>
      <w:spacing w:before="280" w:after="280"/>
    </w:pPr>
    <w:rPr>
      <w:szCs w:val="24"/>
      <w:lang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LibreOffice/7.0.4.2$Windows_X86_64 LibreOffice_project/dcf040e67528d9187c66b2379df5ea4407429775</Application>
  <AppVersion>15.0000</AppVersion>
  <Pages>1</Pages>
  <Words>462</Words>
  <Characters>3198</Characters>
  <CharactersWithSpaces>3632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2021-12-03T08:58:00Z</dcterms:created>
  <dc:creator>ugkh5</dc:creator>
  <dc:description/>
  <dc:language>uk-UA</dc:language>
  <cp:lastModifiedBy/>
  <cp:lastPrinted>2023-10-16T16:41:52Z</cp:lastPrinted>
  <dcterms:modified xsi:type="dcterms:W3CDTF">2023-10-16T16:46:14Z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